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E0" w:rsidRP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>ΠΑΝΕΠΙΣΤΗΜΙΟ ΑΙΓΑΙΟΥ</w:t>
      </w:r>
    </w:p>
    <w:p w:rsidR="00096BE0" w:rsidRP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>ΠΟΛΥΤΕΧΝΙΚΗ ΣΧΟΛΗ</w:t>
      </w:r>
    </w:p>
    <w:p w:rsidR="00096BE0" w:rsidRP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>ΤΜΗΜΑ ΜΗΧΑΝΙΚΩΝ ΟΙΚΟΝΟΜΙΑΣ ΚΑΙ ΔΙΟΙΚΗΣΗΣ</w:t>
      </w:r>
    </w:p>
    <w:p w:rsidR="00096BE0" w:rsidRP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</w:p>
    <w:p w:rsidR="00096BE0" w:rsidRPr="00096BE0" w:rsidRDefault="00096BE0" w:rsidP="00096BE0">
      <w:pPr>
        <w:jc w:val="right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>Χίος, 03/10/2019</w:t>
      </w:r>
    </w:p>
    <w:p w:rsidR="00096BE0" w:rsidRPr="00096BE0" w:rsidRDefault="00096BE0" w:rsidP="00096BE0">
      <w:pPr>
        <w:jc w:val="right"/>
        <w:rPr>
          <w:rFonts w:ascii="Palatino Linotype" w:hAnsi="Palatino Linotype"/>
          <w:sz w:val="18"/>
          <w:szCs w:val="18"/>
          <w:lang w:val="el-GR"/>
        </w:rPr>
      </w:pPr>
    </w:p>
    <w:p w:rsidR="00096BE0" w:rsidRPr="00096BE0" w:rsidRDefault="00096BE0" w:rsidP="00096BE0">
      <w:pPr>
        <w:jc w:val="center"/>
        <w:rPr>
          <w:rFonts w:ascii="Palatino Linotype" w:hAnsi="Palatino Linotype"/>
          <w:b/>
          <w:sz w:val="18"/>
          <w:szCs w:val="18"/>
          <w:lang w:val="el-GR"/>
        </w:rPr>
      </w:pPr>
      <w:r w:rsidRPr="00096BE0">
        <w:rPr>
          <w:rFonts w:ascii="Palatino Linotype" w:hAnsi="Palatino Linotype"/>
          <w:b/>
          <w:sz w:val="18"/>
          <w:szCs w:val="18"/>
          <w:lang w:val="el-GR"/>
        </w:rPr>
        <w:t>ΕΝΗΜΕΡΩΣΗ</w:t>
      </w:r>
    </w:p>
    <w:p w:rsidR="00096BE0" w:rsidRPr="00096BE0" w:rsidRDefault="00096BE0" w:rsidP="00096BE0">
      <w:pPr>
        <w:jc w:val="center"/>
        <w:rPr>
          <w:rFonts w:ascii="Palatino Linotype" w:hAnsi="Palatino Linotype"/>
          <w:sz w:val="18"/>
          <w:szCs w:val="18"/>
          <w:lang w:val="el-GR"/>
        </w:rPr>
      </w:pPr>
    </w:p>
    <w:p w:rsidR="00096BE0" w:rsidRP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 xml:space="preserve">Σε συνέχεια απόφασης της με αριθμό 4 έκτακτη/10.04.2019 Συνέλευσης Τμήματος, σας ενημερώνουμε ότι από το </w:t>
      </w:r>
      <w:proofErr w:type="spellStart"/>
      <w:r w:rsidRPr="00096BE0">
        <w:rPr>
          <w:rFonts w:ascii="Palatino Linotype" w:hAnsi="Palatino Linotype"/>
          <w:sz w:val="18"/>
          <w:szCs w:val="18"/>
          <w:lang w:val="el-GR"/>
        </w:rPr>
        <w:t>ακαδ</w:t>
      </w:r>
      <w:proofErr w:type="spellEnd"/>
      <w:r w:rsidRPr="00096BE0">
        <w:rPr>
          <w:rFonts w:ascii="Palatino Linotype" w:hAnsi="Palatino Linotype"/>
          <w:sz w:val="18"/>
          <w:szCs w:val="18"/>
          <w:lang w:val="el-GR"/>
        </w:rPr>
        <w:t>. έτος 2019-2020 ισχύουν τα ακόλουθα:</w:t>
      </w:r>
    </w:p>
    <w:p w:rsidR="00096BE0" w:rsidRPr="00D0049D" w:rsidRDefault="00096BE0" w:rsidP="00096BE0">
      <w:pPr>
        <w:ind w:right="-153"/>
        <w:jc w:val="center"/>
        <w:rPr>
          <w:rFonts w:ascii="Palatino Linotype" w:hAnsi="Palatino Linotype"/>
          <w:sz w:val="18"/>
          <w:szCs w:val="18"/>
          <w:lang w:val="el-GR"/>
        </w:rPr>
      </w:pP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Τα μαθήματα Γενικής Επιλογής από τέσσερα (4) μειώνονται σε δύο (2)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Όλα τα μαθήματα Επιλογής Κατεύθυνσης και Γενικής Επιλογής διατηρούν τα 5 ECTS (πιστωτικές μονάδες)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Στο Θ΄ (9ο) εξάμηνο τα προσφερόμενα μαθήματα Κατευθύνσεων και Γενικής Επιλογής από έξι (6) γίνονται πέντε (5)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Στο Ι΄(10ο) εξάμηνο τα προσφερόμενα μαθήματα Κατευθύνσεων και Γενικής Επιλογής από δύο (2) γίνονται ένα (1)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Η διπλωματική εργασία λαμβάνει 30 ECTS και συγκεκριμένα: 5 ECTS στο Θ΄(9ο) εξάμηνο και 25 ECTS στο Ι΄ (10ο) εξάμηνο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O φόρτος εργασίας ανά εξάμηνο είναι 30 ECTS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</w:r>
      <w:r w:rsidRPr="00D0049D">
        <w:rPr>
          <w:rFonts w:ascii="Palatino Linotype" w:hAnsi="Palatino Linotype"/>
          <w:b/>
          <w:bCs/>
          <w:iCs/>
          <w:sz w:val="18"/>
          <w:szCs w:val="18"/>
          <w:lang w:val="el-GR" w:eastAsia="x-none"/>
        </w:rPr>
        <w:t>Προϋπόθεση λήψης διπλώματος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 xml:space="preserve"> είναι η επιτυχής ολοκλήρωση τουλάχιστον 53 μαθημάτων, και συγκεκριμένα ο/η φοιτητής/</w:t>
      </w:r>
      <w:proofErr w:type="spellStart"/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τρια</w:t>
      </w:r>
      <w:proofErr w:type="spellEnd"/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 xml:space="preserve">: 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-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 xml:space="preserve">Να έχει επιτύχει στα σαράντα ένα (41) Μαθήματα Κορμού 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-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Να έχει επιτύχει στα επτά (7) Υποχρεωτικά Μαθήματα Κατεύθυνσης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-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Να έχει επιτύχει σε τουλάχιστον τρία (3) Μαθήματα Επιλογής Κατεύθυνσης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-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Να έχει επιτύχει σε τουλάχιστον δύο (2) Μαθήματα Γενικής Επιλογής</w:t>
      </w:r>
    </w:p>
    <w:p w:rsidR="00096BE0" w:rsidRPr="00D0049D" w:rsidRDefault="00096BE0" w:rsidP="00096BE0">
      <w:pPr>
        <w:spacing w:after="120"/>
        <w:ind w:left="205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-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Να έχει ολοκληρώσει επιτυχώς τη Διπλωματική του Εργασία.</w:t>
      </w:r>
    </w:p>
    <w:p w:rsidR="00096BE0" w:rsidRPr="00D0049D" w:rsidRDefault="00096BE0" w:rsidP="00096BE0">
      <w:pPr>
        <w:spacing w:after="120"/>
        <w:ind w:left="715" w:hanging="510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>Τα Υποχρεωτικά Μαθήματα των δύο κατευθύνσεων, καθώς και τα Επιλογής Κατεύθυνσης αυτών, με τις αντίστοιχες πιστωτικές μονάδες (ECTS), να είναι μαθήματα επιπέδου 7, δηλαδή μαθήματα εμβάθυνσης/ειδικότητας.</w:t>
      </w:r>
    </w:p>
    <w:p w:rsidR="00096BE0" w:rsidRPr="00096BE0" w:rsidRDefault="00096BE0" w:rsidP="00096BE0">
      <w:pPr>
        <w:spacing w:after="120"/>
        <w:ind w:left="709" w:hanging="504"/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•</w:t>
      </w:r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ab/>
        <w:t xml:space="preserve">Όλα τα παραπάνω να ισχύσουν από το </w:t>
      </w:r>
      <w:proofErr w:type="spellStart"/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ακαδ</w:t>
      </w:r>
      <w:proofErr w:type="spellEnd"/>
      <w:r w:rsidRPr="00D0049D">
        <w:rPr>
          <w:rFonts w:ascii="Palatino Linotype" w:hAnsi="Palatino Linotype"/>
          <w:bCs/>
          <w:iCs/>
          <w:sz w:val="18"/>
          <w:szCs w:val="18"/>
          <w:lang w:val="el-GR" w:eastAsia="x-none"/>
        </w:rPr>
        <w:t>. έτος 2019-2020 για όλους τους φοιτητές και όλες τις φοιτήτριες που δεν θα έχουν ολοκληρώσει τις σπουδές τους μέχρι 30 Σεπτεμβρίου 2019.</w:t>
      </w:r>
    </w:p>
    <w:p w:rsidR="00096BE0" w:rsidRDefault="00096BE0" w:rsidP="00096BE0">
      <w:pPr>
        <w:jc w:val="both"/>
        <w:rPr>
          <w:rFonts w:ascii="Palatino Linotype" w:hAnsi="Palatino Linotype"/>
          <w:sz w:val="18"/>
          <w:szCs w:val="18"/>
          <w:lang w:val="el-GR"/>
        </w:rPr>
      </w:pPr>
      <w:r w:rsidRPr="00096BE0">
        <w:rPr>
          <w:rFonts w:ascii="Palatino Linotype" w:hAnsi="Palatino Linotype"/>
          <w:b/>
          <w:bCs/>
          <w:iCs/>
          <w:sz w:val="18"/>
          <w:szCs w:val="18"/>
          <w:lang w:val="el-GR" w:eastAsia="x-none"/>
        </w:rPr>
        <w:t xml:space="preserve">Επιπλέον </w:t>
      </w:r>
      <w:r w:rsidRPr="00096BE0">
        <w:rPr>
          <w:rFonts w:ascii="Palatino Linotype" w:hAnsi="Palatino Linotype"/>
          <w:bCs/>
          <w:iCs/>
          <w:sz w:val="18"/>
          <w:szCs w:val="18"/>
          <w:lang w:val="el-GR" w:eastAsia="x-none"/>
        </w:rPr>
        <w:t xml:space="preserve">σύμφωνα απόφαση της με αριθμό 6τακτική/22.05.2019 Συνέλευσης Τμήματος, σας ενημερώνουμε ότι από το </w:t>
      </w:r>
      <w:proofErr w:type="spellStart"/>
      <w:r w:rsidRPr="00096BE0">
        <w:rPr>
          <w:rFonts w:ascii="Palatino Linotype" w:hAnsi="Palatino Linotype"/>
          <w:bCs/>
          <w:iCs/>
          <w:sz w:val="18"/>
          <w:szCs w:val="18"/>
          <w:lang w:val="el-GR" w:eastAsia="x-none"/>
        </w:rPr>
        <w:t>ακαδ</w:t>
      </w:r>
      <w:proofErr w:type="spellEnd"/>
      <w:r w:rsidRPr="00096BE0">
        <w:rPr>
          <w:rFonts w:ascii="Palatino Linotype" w:hAnsi="Palatino Linotype"/>
          <w:bCs/>
          <w:iCs/>
          <w:sz w:val="18"/>
          <w:szCs w:val="18"/>
          <w:lang w:val="el-GR" w:eastAsia="x-none"/>
        </w:rPr>
        <w:t xml:space="preserve">. έτος 2019-2020 </w:t>
      </w:r>
      <w:r w:rsidRPr="00096BE0">
        <w:rPr>
          <w:rFonts w:ascii="Palatino Linotype" w:hAnsi="Palatino Linotype"/>
          <w:sz w:val="18"/>
          <w:szCs w:val="18"/>
          <w:lang w:val="el-GR"/>
        </w:rPr>
        <w:t>ισχύουν τα ακόλουθα:</w:t>
      </w:r>
    </w:p>
    <w:p w:rsidR="00FC1993" w:rsidRPr="00096BE0" w:rsidRDefault="00FC1993" w:rsidP="00096BE0">
      <w:pPr>
        <w:jc w:val="both"/>
        <w:rPr>
          <w:rFonts w:ascii="Palatino Linotype" w:hAnsi="Palatino Linotype"/>
          <w:bCs/>
          <w:iCs/>
          <w:sz w:val="18"/>
          <w:szCs w:val="18"/>
          <w:lang w:val="el-GR" w:eastAsia="x-none"/>
        </w:rPr>
      </w:pPr>
      <w:bookmarkStart w:id="0" w:name="_GoBack"/>
      <w:bookmarkEnd w:id="0"/>
    </w:p>
    <w:p w:rsidR="00096BE0" w:rsidRPr="00096BE0" w:rsidRDefault="00096BE0" w:rsidP="00096BE0">
      <w:pPr>
        <w:spacing w:after="160" w:line="254" w:lineRule="auto"/>
        <w:ind w:left="720" w:right="-153" w:hanging="720"/>
        <w:jc w:val="both"/>
        <w:rPr>
          <w:rFonts w:ascii="Palatino Linotype" w:eastAsia="Calibri" w:hAnsi="Palatino Linotype"/>
          <w:sz w:val="18"/>
          <w:szCs w:val="18"/>
          <w:lang w:val="el-GR" w:eastAsia="en-US"/>
        </w:rPr>
      </w:pP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>α)</w:t>
      </w: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ab/>
        <w:t>ενισχύεται η Κατεύθυνση «Μηχανική της Διοίκησης» με την προσθήκη του μαθήματος «Ειδικά Θέματα στη Διοίκηση Λειτουργιών» στο ΠΠΣ, ως μάθημα Επιλογής Κατεύθυνσης στο 9</w:t>
      </w:r>
      <w:r w:rsidRPr="00096BE0">
        <w:rPr>
          <w:rFonts w:ascii="Palatino Linotype" w:eastAsia="Calibri" w:hAnsi="Palatino Linotype"/>
          <w:sz w:val="18"/>
          <w:szCs w:val="18"/>
          <w:vertAlign w:val="superscript"/>
          <w:lang w:val="el-GR" w:eastAsia="en-US"/>
        </w:rPr>
        <w:t>ο</w:t>
      </w: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 εξάμηνο Σπουδών.</w:t>
      </w:r>
    </w:p>
    <w:p w:rsidR="00096BE0" w:rsidRPr="00096BE0" w:rsidRDefault="00096BE0" w:rsidP="00096BE0">
      <w:pPr>
        <w:spacing w:after="160" w:line="256" w:lineRule="auto"/>
        <w:ind w:left="720" w:hanging="720"/>
        <w:jc w:val="both"/>
        <w:rPr>
          <w:rFonts w:ascii="Palatino Linotype" w:eastAsia="Calibri" w:hAnsi="Palatino Linotype"/>
          <w:sz w:val="18"/>
          <w:szCs w:val="18"/>
          <w:lang w:val="el-GR" w:eastAsia="en-US"/>
        </w:rPr>
      </w:pP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β) </w:t>
      </w: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ab/>
        <w:t xml:space="preserve">καταργούνται τα δύο </w:t>
      </w:r>
      <w:proofErr w:type="spellStart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>προαπαιτούμενα</w:t>
      </w:r>
      <w:proofErr w:type="spellEnd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 μαθήματα. Συγκεκριμένα </w:t>
      </w:r>
      <w:proofErr w:type="spellStart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>προαπαιτούμενο</w:t>
      </w:r>
      <w:proofErr w:type="spellEnd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: Απειροστικός Λογισμός Ι για το μάθημα «Διαφορικές Εξισώσεις» και </w:t>
      </w:r>
      <w:proofErr w:type="spellStart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>προαπαιτούμενο</w:t>
      </w:r>
      <w:proofErr w:type="spellEnd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: Στατική για το μάθημα «Αντοχή Υλικών» </w:t>
      </w:r>
      <w:r w:rsidRPr="00096BE0">
        <w:rPr>
          <w:rFonts w:ascii="Palatino Linotype" w:eastAsia="Calibri" w:hAnsi="Palatino Linotype"/>
          <w:b/>
          <w:sz w:val="18"/>
          <w:szCs w:val="18"/>
          <w:lang w:val="el-GR" w:eastAsia="en-US"/>
        </w:rPr>
        <w:t>και</w:t>
      </w:r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 θα δημιουργηθεί ένας κατάλογος «προτεινόμενων </w:t>
      </w:r>
      <w:proofErr w:type="spellStart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>προαπαιτούμενων</w:t>
      </w:r>
      <w:proofErr w:type="spellEnd"/>
      <w:r w:rsidRPr="00096BE0">
        <w:rPr>
          <w:rFonts w:ascii="Palatino Linotype" w:eastAsia="Calibri" w:hAnsi="Palatino Linotype"/>
          <w:sz w:val="18"/>
          <w:szCs w:val="18"/>
          <w:lang w:val="el-GR" w:eastAsia="en-US"/>
        </w:rPr>
        <w:t xml:space="preserve"> μαθημάτων» που θα βοηθήσει ουσιαστικά στην πορεία των σπουδών των φοιτητών και φοιτητριών του Τμήματος, καθώς έτσι θα διασφαλίζεται με πιο εύληπτο τρόπο η συνέχεια των μαθημάτων του Προπτυχιακού Προγράμματος Σπουδών του Τμήματος.</w:t>
      </w:r>
    </w:p>
    <w:p w:rsidR="00AE06A2" w:rsidRPr="00096BE0" w:rsidRDefault="00096BE0" w:rsidP="00096BE0">
      <w:pPr>
        <w:jc w:val="right"/>
        <w:rPr>
          <w:sz w:val="18"/>
          <w:szCs w:val="18"/>
        </w:rPr>
      </w:pPr>
      <w:r w:rsidRPr="00096BE0">
        <w:rPr>
          <w:rFonts w:ascii="Palatino Linotype" w:hAnsi="Palatino Linotype"/>
          <w:sz w:val="18"/>
          <w:szCs w:val="18"/>
          <w:lang w:val="el-GR"/>
        </w:rPr>
        <w:t>Γραμματεία ΠΠΣ ΤΜΟΔ</w:t>
      </w:r>
    </w:p>
    <w:sectPr w:rsidR="00AE06A2" w:rsidRPr="00096BE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CA0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</cp:revision>
  <dcterms:created xsi:type="dcterms:W3CDTF">2019-09-27T12:04:00Z</dcterms:created>
  <dcterms:modified xsi:type="dcterms:W3CDTF">2019-10-03T13:08:00Z</dcterms:modified>
</cp:coreProperties>
</file>